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145C" w14:textId="77777777" w:rsidR="00EF08E8" w:rsidRDefault="00EF08E8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</w:p>
    <w:p w14:paraId="2C62994C" w14:textId="4AB0F53D" w:rsidR="00B0381E" w:rsidRPr="00B0381E" w:rsidRDefault="00B0381E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 w:rsidRPr="00B0381E"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Security guard patrol check sheet by SIRV –</w:t>
      </w:r>
    </w:p>
    <w:p w14:paraId="7EAF26DB" w14:textId="2B176CBF" w:rsidR="00B0381E" w:rsidRPr="00B0381E" w:rsidRDefault="004F0E49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2"/>
          <w:szCs w:val="32"/>
          <w:lang w:eastAsia="en-GB"/>
        </w:rPr>
      </w:pPr>
      <w:r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 xml:space="preserve">Detect, deny, deter </w:t>
      </w:r>
      <w:r w:rsidR="00B80873"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 xml:space="preserve">outsider </w:t>
      </w:r>
      <w:r>
        <w:rPr>
          <w:rFonts w:ascii="Fira Sans" w:hAnsi="Fira Sans"/>
          <w:b/>
          <w:bCs/>
          <w:color w:val="4C4C4C"/>
          <w:sz w:val="32"/>
          <w:szCs w:val="32"/>
          <w:lang w:eastAsia="en-GB"/>
        </w:rPr>
        <w:t>threat</w:t>
      </w:r>
    </w:p>
    <w:p w14:paraId="20729520" w14:textId="77777777" w:rsidR="00B0381E" w:rsidRPr="0042482E" w:rsidRDefault="00B0381E" w:rsidP="00B0381E">
      <w:pPr>
        <w:shd w:val="clear" w:color="auto" w:fill="FFFFFF"/>
        <w:spacing w:line="240" w:lineRule="atLeast"/>
        <w:textAlignment w:val="baseline"/>
        <w:outlineLvl w:val="2"/>
        <w:rPr>
          <w:rFonts w:ascii="Fira Sans" w:hAnsi="Fira Sans"/>
          <w:color w:val="4C4C4C"/>
          <w:sz w:val="28"/>
          <w:szCs w:val="28"/>
          <w:lang w:eastAsia="en-GB"/>
        </w:rPr>
      </w:pPr>
    </w:p>
    <w:p w14:paraId="5CDC0A98" w14:textId="77777777" w:rsidR="00B80873" w:rsidRP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A security patrol will tackle outsider threat by hostile actors in three ways.</w:t>
      </w:r>
    </w:p>
    <w:p w14:paraId="66D55090" w14:textId="77777777" w:rsid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008F55DE" w14:textId="2A8FB9BD" w:rsidR="00B80873" w:rsidRP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&gt; Deter:</w:t>
      </w:r>
    </w:p>
    <w:p w14:paraId="15DDE7AA" w14:textId="77777777" w:rsidR="00B80873" w:rsidRPr="00B80873" w:rsidRDefault="00B80873" w:rsidP="00B80873">
      <w:pPr>
        <w:numPr>
          <w:ilvl w:val="0"/>
          <w:numId w:val="19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hyperlink r:id="rId7" w:history="1">
        <w:r w:rsidRPr="00B80873">
          <w:rPr>
            <w:rFonts w:ascii="Fira Sans" w:hAnsi="Fira Sans"/>
            <w:color w:val="4C4C4C"/>
            <w:sz w:val="27"/>
            <w:szCs w:val="27"/>
            <w:bdr w:val="none" w:sz="0" w:space="0" w:color="auto" w:frame="1"/>
            <w:lang w:val="en-GB" w:eastAsia="en-GB"/>
          </w:rPr>
          <w:t>Hostile reconnaissance</w:t>
        </w:r>
      </w:hyperlink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 by wearing high profile clothing. Also, the guard will appear alert and vigilant.</w:t>
      </w:r>
    </w:p>
    <w:p w14:paraId="795AC6F6" w14:textId="77777777" w:rsid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7D0D1935" w14:textId="741C3644" w:rsidR="00B80873" w:rsidRP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&gt; Detect suspicious:</w:t>
      </w:r>
    </w:p>
    <w:p w14:paraId="7A8CF149" w14:textId="77777777" w:rsidR="00B80873" w:rsidRPr="00B80873" w:rsidRDefault="00B80873" w:rsidP="00B80873">
      <w:pPr>
        <w:numPr>
          <w:ilvl w:val="0"/>
          <w:numId w:val="20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Technology on or near site. For example, drones or </w:t>
      </w:r>
      <w:proofErr w:type="gramStart"/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remote controlled</w:t>
      </w:r>
      <w:proofErr w:type="gramEnd"/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 cameras.</w:t>
      </w:r>
    </w:p>
    <w:p w14:paraId="0C117CD4" w14:textId="77777777" w:rsidR="00B80873" w:rsidRPr="00B80873" w:rsidRDefault="00B80873" w:rsidP="00B80873">
      <w:pPr>
        <w:numPr>
          <w:ilvl w:val="0"/>
          <w:numId w:val="20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People found watching, </w:t>
      </w:r>
      <w:proofErr w:type="gramStart"/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listening</w:t>
      </w:r>
      <w:proofErr w:type="gramEnd"/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 xml:space="preserve"> and recording site security and safety measures. For example, in an urban setting a person may sit in a local cafe and take pictures or videos of site security.</w:t>
      </w:r>
    </w:p>
    <w:p w14:paraId="15EE7582" w14:textId="77777777" w:rsidR="00B80873" w:rsidRPr="00B80873" w:rsidRDefault="00B80873" w:rsidP="00B80873">
      <w:pPr>
        <w:numPr>
          <w:ilvl w:val="0"/>
          <w:numId w:val="20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Vehicles found in and around a location.</w:t>
      </w:r>
    </w:p>
    <w:p w14:paraId="4EAA3E13" w14:textId="77777777" w:rsid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781EC14F" w14:textId="4258405E" w:rsidR="00B80873" w:rsidRP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&gt; Deny hostile actors:</w:t>
      </w:r>
    </w:p>
    <w:p w14:paraId="4EEADFAC" w14:textId="77777777" w:rsidR="00B80873" w:rsidRPr="00B80873" w:rsidRDefault="00B80873" w:rsidP="00B80873">
      <w:pPr>
        <w:numPr>
          <w:ilvl w:val="0"/>
          <w:numId w:val="21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By reporting them to security services.</w:t>
      </w:r>
    </w:p>
    <w:p w14:paraId="23939996" w14:textId="77777777" w:rsidR="00B80873" w:rsidRDefault="00B80873" w:rsidP="00B80873">
      <w:pPr>
        <w:numPr>
          <w:ilvl w:val="0"/>
          <w:numId w:val="21"/>
        </w:numPr>
        <w:spacing w:line="432" w:lineRule="atLeast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By speaking with them and challenging their intentions. Also, if in-line with the law, they will remove hostile actors from site.</w:t>
      </w:r>
    </w:p>
    <w:p w14:paraId="6217326B" w14:textId="77777777" w:rsidR="00B80873" w:rsidRPr="00B80873" w:rsidRDefault="00B80873" w:rsidP="00B80873">
      <w:pPr>
        <w:spacing w:line="432" w:lineRule="atLeast"/>
        <w:ind w:left="720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</w:p>
    <w:p w14:paraId="7077C9A2" w14:textId="77777777" w:rsidR="00B80873" w:rsidRPr="00B80873" w:rsidRDefault="00B80873" w:rsidP="00B80873">
      <w:pPr>
        <w:shd w:val="clear" w:color="auto" w:fill="FFFFFF"/>
        <w:textAlignment w:val="baseline"/>
        <w:rPr>
          <w:rFonts w:ascii="Fira Sans" w:hAnsi="Fira Sans"/>
          <w:color w:val="4C4C4C"/>
          <w:sz w:val="27"/>
          <w:szCs w:val="27"/>
          <w:lang w:val="en-GB" w:eastAsia="en-GB"/>
        </w:rPr>
      </w:pPr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Speaking with a person suspected of hostile reconnaissance is enough to deter an attack. Because the person will fear they are identified they will therefore select another target for their attack. A person doing hostile reconnaissance is likely to feel anxious. Therefore, their body language will provide ‘tells’, signs of their state of mind. For further guidance on spotting </w:t>
      </w:r>
      <w:hyperlink r:id="rId8" w:history="1">
        <w:r w:rsidRPr="00B80873">
          <w:rPr>
            <w:rFonts w:ascii="Fira Sans" w:hAnsi="Fira Sans"/>
            <w:color w:val="4C4C4C"/>
            <w:sz w:val="27"/>
            <w:szCs w:val="27"/>
            <w:bdr w:val="none" w:sz="0" w:space="0" w:color="auto" w:frame="1"/>
            <w:lang w:val="en-GB" w:eastAsia="en-GB"/>
          </w:rPr>
          <w:t>hostile reconnaissance see the UK government advice</w:t>
        </w:r>
      </w:hyperlink>
      <w:r w:rsidRPr="00B80873">
        <w:rPr>
          <w:rFonts w:ascii="Fira Sans" w:hAnsi="Fira Sans"/>
          <w:color w:val="4C4C4C"/>
          <w:sz w:val="27"/>
          <w:szCs w:val="27"/>
          <w:lang w:val="en-GB" w:eastAsia="en-GB"/>
        </w:rPr>
        <w:t>.</w:t>
      </w:r>
    </w:p>
    <w:p w14:paraId="72390E1F" w14:textId="23A6AF6C" w:rsidR="00A015C1" w:rsidRPr="00B0381E" w:rsidRDefault="00A015C1" w:rsidP="00B80873">
      <w:pPr>
        <w:shd w:val="clear" w:color="auto" w:fill="FFFFFF"/>
        <w:textAlignment w:val="baseline"/>
        <w:rPr>
          <w:rFonts w:asciiTheme="majorHAnsi" w:eastAsiaTheme="minorEastAsia" w:hAnsiTheme="majorHAnsi" w:cstheme="majorHAnsi"/>
          <w:color w:val="262626" w:themeColor="text1" w:themeTint="D9"/>
          <w:sz w:val="28"/>
          <w:szCs w:val="28"/>
          <w:lang w:eastAsia="ja-JP"/>
        </w:rPr>
      </w:pPr>
    </w:p>
    <w:sectPr w:rsidR="00A015C1" w:rsidRPr="00B0381E" w:rsidSect="00B7318A">
      <w:headerReference w:type="default" r:id="rId9"/>
      <w:footerReference w:type="default" r:id="rId10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4836" w14:textId="77777777" w:rsidR="00B7318A" w:rsidRDefault="00B7318A" w:rsidP="00326CC2">
      <w:r>
        <w:separator/>
      </w:r>
    </w:p>
  </w:endnote>
  <w:endnote w:type="continuationSeparator" w:id="0">
    <w:p w14:paraId="13E24907" w14:textId="77777777" w:rsidR="00B7318A" w:rsidRDefault="00B7318A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35F6" w14:textId="77777777" w:rsidR="00B7318A" w:rsidRDefault="00B7318A" w:rsidP="00326CC2">
      <w:r>
        <w:separator/>
      </w:r>
    </w:p>
  </w:footnote>
  <w:footnote w:type="continuationSeparator" w:id="0">
    <w:p w14:paraId="32445214" w14:textId="77777777" w:rsidR="00B7318A" w:rsidRDefault="00B7318A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E04C1"/>
    <w:multiLevelType w:val="multilevel"/>
    <w:tmpl w:val="153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93597"/>
    <w:multiLevelType w:val="multilevel"/>
    <w:tmpl w:val="1DA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AAF"/>
    <w:multiLevelType w:val="multilevel"/>
    <w:tmpl w:val="6E0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26DC"/>
    <w:multiLevelType w:val="multilevel"/>
    <w:tmpl w:val="F5B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77CD"/>
    <w:multiLevelType w:val="multilevel"/>
    <w:tmpl w:val="AE6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82147"/>
    <w:multiLevelType w:val="multilevel"/>
    <w:tmpl w:val="9DB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C9523D"/>
    <w:multiLevelType w:val="multilevel"/>
    <w:tmpl w:val="50E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930FDC"/>
    <w:multiLevelType w:val="multilevel"/>
    <w:tmpl w:val="4DC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7672018">
    <w:abstractNumId w:val="17"/>
  </w:num>
  <w:num w:numId="2" w16cid:durableId="470101550">
    <w:abstractNumId w:val="14"/>
  </w:num>
  <w:num w:numId="3" w16cid:durableId="2021159025">
    <w:abstractNumId w:val="5"/>
  </w:num>
  <w:num w:numId="4" w16cid:durableId="454760489">
    <w:abstractNumId w:val="19"/>
  </w:num>
  <w:num w:numId="5" w16cid:durableId="1363554871">
    <w:abstractNumId w:val="6"/>
  </w:num>
  <w:num w:numId="6" w16cid:durableId="929628399">
    <w:abstractNumId w:val="13"/>
  </w:num>
  <w:num w:numId="7" w16cid:durableId="1005133530">
    <w:abstractNumId w:val="0"/>
  </w:num>
  <w:num w:numId="8" w16cid:durableId="294409821">
    <w:abstractNumId w:val="3"/>
  </w:num>
  <w:num w:numId="9" w16cid:durableId="1325016357">
    <w:abstractNumId w:val="8"/>
  </w:num>
  <w:num w:numId="10" w16cid:durableId="1776485190">
    <w:abstractNumId w:val="10"/>
  </w:num>
  <w:num w:numId="11" w16cid:durableId="2040928981">
    <w:abstractNumId w:val="16"/>
  </w:num>
  <w:num w:numId="12" w16cid:durableId="595792574">
    <w:abstractNumId w:val="11"/>
  </w:num>
  <w:num w:numId="13" w16cid:durableId="1138886451">
    <w:abstractNumId w:val="12"/>
  </w:num>
  <w:num w:numId="14" w16cid:durableId="1639259195">
    <w:abstractNumId w:val="7"/>
  </w:num>
  <w:num w:numId="15" w16cid:durableId="1580283655">
    <w:abstractNumId w:val="9"/>
  </w:num>
  <w:num w:numId="16" w16cid:durableId="9140488">
    <w:abstractNumId w:val="4"/>
  </w:num>
  <w:num w:numId="17" w16cid:durableId="1247154580">
    <w:abstractNumId w:val="2"/>
  </w:num>
  <w:num w:numId="18" w16cid:durableId="1107165533">
    <w:abstractNumId w:val="1"/>
  </w:num>
  <w:num w:numId="19" w16cid:durableId="2015761741">
    <w:abstractNumId w:val="20"/>
  </w:num>
  <w:num w:numId="20" w16cid:durableId="2139565157">
    <w:abstractNumId w:val="15"/>
  </w:num>
  <w:num w:numId="21" w16cid:durableId="7560505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876E8"/>
    <w:rsid w:val="001C77C7"/>
    <w:rsid w:val="002B4EA2"/>
    <w:rsid w:val="00326CC2"/>
    <w:rsid w:val="00335FCD"/>
    <w:rsid w:val="00455C8B"/>
    <w:rsid w:val="00480AF8"/>
    <w:rsid w:val="00495F49"/>
    <w:rsid w:val="004D39C2"/>
    <w:rsid w:val="004F0E49"/>
    <w:rsid w:val="00546DE0"/>
    <w:rsid w:val="00556688"/>
    <w:rsid w:val="005D1828"/>
    <w:rsid w:val="005E5392"/>
    <w:rsid w:val="00640E51"/>
    <w:rsid w:val="00662D68"/>
    <w:rsid w:val="00747B64"/>
    <w:rsid w:val="0075416D"/>
    <w:rsid w:val="00804DA9"/>
    <w:rsid w:val="008B2EBF"/>
    <w:rsid w:val="00A015C1"/>
    <w:rsid w:val="00AA156C"/>
    <w:rsid w:val="00B0275D"/>
    <w:rsid w:val="00B0381E"/>
    <w:rsid w:val="00B7318A"/>
    <w:rsid w:val="00B80873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EF08E8"/>
    <w:rsid w:val="00F23734"/>
    <w:rsid w:val="00F80270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27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8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rowded-places-guidance/hostile-reconnaiss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sirv.com/2022/09/hostile-reconnaissance-terrorist-att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2</cp:revision>
  <dcterms:created xsi:type="dcterms:W3CDTF">2024-01-23T09:38:00Z</dcterms:created>
  <dcterms:modified xsi:type="dcterms:W3CDTF">2024-01-23T09:38:00Z</dcterms:modified>
</cp:coreProperties>
</file>